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60"/>
        <w:jc w:val="both"/>
      </w:pPr>
      <w:r>
        <w:rPr>
          <w:rFonts w:ascii="Arial" w:hAnsi="Arial"/>
          <w:sz w:val="22"/>
          <w:szCs w:val="22"/>
          <w:rtl w:val="0"/>
          <w:lang w:val="it-IT"/>
        </w:rPr>
        <w:t>FCHub</w:t>
      </w:r>
    </w:p>
    <w:p>
      <w:pPr>
        <w:pStyle w:val="Normal.0"/>
        <w:spacing w:after="60"/>
        <w:jc w:val="both"/>
      </w:pPr>
    </w:p>
    <w:p>
      <w:pPr>
        <w:pStyle w:val="Normal.0"/>
        <w:spacing w:after="60"/>
        <w:jc w:val="both"/>
      </w:pPr>
      <w:r>
        <w:rPr>
          <w:rFonts w:ascii="Arial" w:hAnsi="Arial"/>
          <w:b w:val="1"/>
          <w:bCs w:val="1"/>
          <w:color w:val="72bf44"/>
          <w:sz w:val="30"/>
          <w:szCs w:val="30"/>
          <w:u w:color="72bf44"/>
          <w:rtl w:val="0"/>
          <w:lang w:val="it-IT"/>
        </w:rPr>
        <w:t xml:space="preserve">Le </w:t>
      </w:r>
      <w:r>
        <w:rPr>
          <w:rFonts w:ascii="Arial" w:hAnsi="Arial" w:hint="default"/>
          <w:b w:val="1"/>
          <w:bCs w:val="1"/>
          <w:color w:val="72bf44"/>
          <w:sz w:val="30"/>
          <w:szCs w:val="30"/>
          <w:u w:color="72bf44"/>
          <w:rtl w:val="0"/>
          <w:lang w:val="it-IT"/>
        </w:rPr>
        <w:t>“</w:t>
      </w:r>
      <w:r>
        <w:rPr>
          <w:rFonts w:ascii="Arial" w:hAnsi="Arial"/>
          <w:b w:val="1"/>
          <w:bCs w:val="1"/>
          <w:color w:val="72bf44"/>
          <w:sz w:val="30"/>
          <w:szCs w:val="30"/>
          <w:u w:color="72bf44"/>
          <w:rtl w:val="0"/>
          <w:lang w:val="it-IT"/>
        </w:rPr>
        <w:t>sorprese</w:t>
      </w:r>
      <w:r>
        <w:rPr>
          <w:rFonts w:ascii="Arial" w:hAnsi="Arial" w:hint="default"/>
          <w:b w:val="1"/>
          <w:bCs w:val="1"/>
          <w:color w:val="72bf44"/>
          <w:sz w:val="30"/>
          <w:szCs w:val="30"/>
          <w:u w:color="72bf44"/>
          <w:rtl w:val="0"/>
          <w:lang w:val="it-IT"/>
        </w:rPr>
        <w:t xml:space="preserve">” </w:t>
      </w:r>
      <w:r>
        <w:rPr>
          <w:rFonts w:ascii="Arial" w:hAnsi="Arial"/>
          <w:b w:val="1"/>
          <w:bCs w:val="1"/>
          <w:color w:val="72bf44"/>
          <w:sz w:val="30"/>
          <w:szCs w:val="30"/>
          <w:u w:color="72bf44"/>
          <w:rtl w:val="0"/>
          <w:lang w:val="it-IT"/>
        </w:rPr>
        <w:t>della Bce</w:t>
      </w:r>
    </w:p>
    <w:p>
      <w:pPr>
        <w:pStyle w:val="Normal.0"/>
        <w:spacing w:after="60"/>
        <w:jc w:val="both"/>
      </w:pPr>
    </w:p>
    <w:p>
      <w:pPr>
        <w:pStyle w:val="Normal.0"/>
        <w:spacing w:after="60"/>
        <w:jc w:val="both"/>
      </w:pP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N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ella recente riunione del suo Consiglio direttivo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,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 xml:space="preserve"> la Bce ha confermato il tratto decisamente accomodante della politica monetaria europea. Gli strumenti adottati per perseguire questo obiettivo hanno per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it-IT"/>
        </w:rPr>
        <w:t xml:space="preserve">ò 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parzialmente sorpreso. Si tratta delle modifiche apportate al profilo delle operazioni TLTRO III e le novit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introdotte nel funzionamento della deposit facility</w:t>
      </w:r>
      <w:r>
        <w:rPr>
          <w:rFonts w:ascii="Arial" w:hAnsi="Arial"/>
          <w:sz w:val="22"/>
          <w:szCs w:val="22"/>
          <w:rtl w:val="0"/>
          <w:lang w:val="it-IT"/>
        </w:rPr>
        <w:t xml:space="preserve">. </w:t>
      </w:r>
    </w:p>
    <w:p>
      <w:pPr>
        <w:pStyle w:val="Normal.0"/>
        <w:spacing w:after="60"/>
        <w:jc w:val="both"/>
      </w:pPr>
    </w:p>
    <w:p>
      <w:pPr>
        <w:pStyle w:val="Normal.0"/>
        <w:spacing w:after="6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C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era molto interesse per la riunione del Consiglio direttivo della Bce del 12 settembre scorso,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ultima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era Draghi. Era facile ipotizzare che gli interventi avrebbero confermato il tratto decisamente accomodante della politica monetaria europea. Anzi erano numerosi gli esperti pronti a scommettere che il carattere espansivo sarebbe stato in qualche misura accentuato. </w:t>
      </w:r>
    </w:p>
    <w:p>
      <w:pPr>
        <w:pStyle w:val="Normal.0"/>
        <w:spacing w:after="60"/>
        <w:jc w:val="both"/>
      </w:pPr>
      <w:r>
        <w:rPr>
          <w:rFonts w:ascii="Arial" w:hAnsi="Arial"/>
          <w:sz w:val="22"/>
          <w:szCs w:val="22"/>
          <w:rtl w:val="0"/>
          <w:lang w:val="it-IT"/>
        </w:rPr>
        <w:t>In effetti, la congiuntura internazionale risente della difficolt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di sciogliere o almeno ridimensionare alcuni nodi economici cui si sommano le numerose inquietudini della politica mondiale: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inasprirsi del confronto tra Stati Uniti e Cina,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ancora imprevedibile sviluppo della Brexit,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esito tutt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altro che risolutivo di molti confronti elettorali, il riacutizzarsi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instabilit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nell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area medio-orientale</w:t>
      </w:r>
      <w:r>
        <w:rPr>
          <w:rFonts w:ascii="Arial" w:hAnsi="Arial"/>
          <w:sz w:val="22"/>
          <w:szCs w:val="22"/>
          <w:rtl w:val="0"/>
          <w:lang w:val="it-IT"/>
        </w:rPr>
        <w:t>,</w:t>
      </w:r>
      <w:r>
        <w:rPr>
          <w:rFonts w:ascii="Arial" w:hAnsi="Arial"/>
          <w:sz w:val="22"/>
          <w:szCs w:val="22"/>
          <w:rtl w:val="0"/>
          <w:lang w:val="it-IT"/>
        </w:rPr>
        <w:t xml:space="preserve"> etc. </w:t>
      </w:r>
    </w:p>
    <w:p>
      <w:pPr>
        <w:pStyle w:val="Normal.0"/>
        <w:spacing w:after="6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I riflessi sul </w:t>
      </w:r>
      <w:r>
        <w:rPr>
          <w:rFonts w:ascii="Arial" w:hAnsi="Arial"/>
          <w:sz w:val="22"/>
          <w:szCs w:val="22"/>
          <w:rtl w:val="0"/>
          <w:lang w:val="it-IT"/>
        </w:rPr>
        <w:t>V</w:t>
      </w:r>
      <w:r>
        <w:rPr>
          <w:rFonts w:ascii="Arial" w:hAnsi="Arial"/>
          <w:sz w:val="22"/>
          <w:szCs w:val="22"/>
          <w:rtl w:val="0"/>
          <w:lang w:val="it-IT"/>
        </w:rPr>
        <w:t xml:space="preserve">ecchio </w:t>
      </w:r>
      <w:r>
        <w:rPr>
          <w:rFonts w:ascii="Arial" w:hAnsi="Arial"/>
          <w:sz w:val="22"/>
          <w:szCs w:val="22"/>
          <w:rtl w:val="0"/>
          <w:lang w:val="it-IT"/>
        </w:rPr>
        <w:t>C</w:t>
      </w:r>
      <w:r>
        <w:rPr>
          <w:rFonts w:ascii="Arial" w:hAnsi="Arial"/>
          <w:sz w:val="22"/>
          <w:szCs w:val="22"/>
          <w:rtl w:val="0"/>
          <w:lang w:val="it-IT"/>
        </w:rPr>
        <w:t>ontinente di questo complesso scenario sono da tempo visibili. Nell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area euro i dati pi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ù </w:t>
      </w:r>
      <w:r>
        <w:rPr>
          <w:rFonts w:ascii="Arial" w:hAnsi="Arial"/>
          <w:sz w:val="22"/>
          <w:szCs w:val="22"/>
          <w:rtl w:val="0"/>
          <w:lang w:val="it-IT"/>
        </w:rPr>
        <w:t>recenti relativi al 2019 esprimono un evidente rallentamento. In termini di crescita economica, il consuntivo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anno in corso dovrebbe risultare pari a poco pi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ù </w:t>
      </w:r>
      <w:r>
        <w:rPr>
          <w:rFonts w:ascii="Arial" w:hAnsi="Arial"/>
          <w:sz w:val="22"/>
          <w:szCs w:val="22"/>
          <w:rtl w:val="0"/>
          <w:lang w:val="it-IT"/>
        </w:rPr>
        <w:t>della met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di quello del 2018 (poco sopra all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1% rispetto al +1,9%). </w:t>
      </w:r>
    </w:p>
    <w:p>
      <w:pPr>
        <w:pStyle w:val="Normal.0"/>
        <w:spacing w:after="60"/>
        <w:jc w:val="both"/>
      </w:pPr>
      <w:r>
        <w:rPr>
          <w:rFonts w:ascii="Arial" w:hAnsi="Arial"/>
          <w:sz w:val="22"/>
          <w:szCs w:val="22"/>
          <w:rtl w:val="0"/>
          <w:lang w:val="it-IT"/>
        </w:rPr>
        <w:t xml:space="preserve">Attualmente (secondo trimestre 2019) in Italia e in Germania la cadenza annua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 xml:space="preserve">nulla o poco sopra lo zero; meglio la Francia (1,3%) e la Spagna (oltre il 2%). Un miglioramento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 xml:space="preserve">atteso per il 2020 ma la previsione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 xml:space="preserve">esposta ad un rischio di ridimensionamento (downside risk). </w:t>
      </w:r>
    </w:p>
    <w:p>
      <w:pPr>
        <w:pStyle w:val="Normal.0"/>
        <w:spacing w:after="60"/>
        <w:jc w:val="both"/>
      </w:pPr>
    </w:p>
    <w:p>
      <w:pPr>
        <w:pStyle w:val="Normal.0"/>
        <w:spacing w:after="60"/>
        <w:jc w:val="both"/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Come funzionano le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operazioni TLTRO</w:t>
      </w:r>
    </w:p>
    <w:p>
      <w:pPr>
        <w:pStyle w:val="Normal.0"/>
        <w:spacing w:after="6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Se prevedere la conferma del tono fortemente accomodante era relativamente facile, assai pi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ù </w:t>
      </w:r>
      <w:r>
        <w:rPr>
          <w:rFonts w:ascii="Arial" w:hAnsi="Arial"/>
          <w:sz w:val="22"/>
          <w:szCs w:val="22"/>
          <w:rtl w:val="0"/>
          <w:lang w:val="it-IT"/>
        </w:rPr>
        <w:t>difficile era immaginare con quali strumenti questo obiettivo sarebbe stato perseguito. E in effetti nel comunicato della Bce ci sono alcune novit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 xml:space="preserve">inaspettate. La prima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 xml:space="preserve">quella indicata al punto 4 ove si delineano alcune modifiche nel funzionamento della terza serie dei finanziamenti TLTRO (Targeted Longer-Term Refinancing Operations). </w:t>
      </w:r>
    </w:p>
    <w:p>
      <w:pPr>
        <w:pStyle w:val="Normal.0"/>
        <w:spacing w:after="6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after="6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La prima serie di queste operazioni risale a giugno 2014, la seconda a marzo 2016. Sono definite operazioni </w:t>
      </w: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sz w:val="22"/>
          <w:szCs w:val="22"/>
          <w:rtl w:val="0"/>
          <w:lang w:val="it-IT"/>
        </w:rPr>
        <w:t>mirate</w:t>
      </w:r>
      <w:r>
        <w:rPr>
          <w:rFonts w:ascii="Arial" w:hAnsi="Arial" w:hint="default"/>
          <w:sz w:val="22"/>
          <w:szCs w:val="22"/>
          <w:rtl w:val="0"/>
          <w:lang w:val="it-IT"/>
        </w:rPr>
        <w:t>”</w:t>
      </w:r>
      <w:r>
        <w:rPr>
          <w:rFonts w:ascii="Arial" w:hAnsi="Arial"/>
          <w:sz w:val="22"/>
          <w:szCs w:val="22"/>
          <w:rtl w:val="0"/>
          <w:lang w:val="it-IT"/>
        </w:rPr>
        <w:t>,</w:t>
      </w:r>
      <w:r>
        <w:rPr>
          <w:rFonts w:ascii="Arial" w:hAnsi="Arial"/>
          <w:sz w:val="22"/>
          <w:szCs w:val="22"/>
          <w:rtl w:val="0"/>
          <w:lang w:val="it-IT"/>
        </w:rPr>
        <w:t xml:space="preserve"> in quanto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ammontare dei finanziamenti che le banche possono ottenere e il tasso applicato, sono determinati in funzione</w:t>
      </w:r>
      <w:r>
        <w:rPr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del volume dei prestiti erogati a societ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non finanziarie  e  famiglie  (esclusi  i  prestiti per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acquisto di abitazioni). </w:t>
      </w:r>
    </w:p>
    <w:p>
      <w:pPr>
        <w:pStyle w:val="Normal.0"/>
        <w:spacing w:after="6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after="6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Il loro aspetto qualificante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nel sistema d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incentivazione alla concessione del credito. Il tasso d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interesse applicato, infatti, viene fissato a posteriori con un meccanismo premiante: in linea generale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pari  al  tasso  medio  applicato  alle  operazioni  di  rifinanziamento  principali vigente nel periodo di durata del finanziamento</w:t>
      </w:r>
      <w:r>
        <w:rPr>
          <w:rFonts w:ascii="Arial" w:hAnsi="Arial"/>
          <w:sz w:val="22"/>
          <w:szCs w:val="22"/>
          <w:rtl w:val="0"/>
          <w:lang w:val="it-IT"/>
        </w:rPr>
        <w:t xml:space="preserve">. </w:t>
      </w:r>
    </w:p>
    <w:p>
      <w:pPr>
        <w:pStyle w:val="Normal.0"/>
        <w:spacing w:after="6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after="6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S</w:t>
      </w:r>
      <w:r>
        <w:rPr>
          <w:rFonts w:ascii="Arial" w:hAnsi="Arial"/>
          <w:sz w:val="22"/>
          <w:szCs w:val="22"/>
          <w:rtl w:val="0"/>
          <w:lang w:val="it-IT"/>
        </w:rPr>
        <w:t>e per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ò </w:t>
      </w:r>
      <w:r>
        <w:rPr>
          <w:rFonts w:ascii="Arial" w:hAnsi="Arial"/>
          <w:sz w:val="22"/>
          <w:szCs w:val="22"/>
          <w:rtl w:val="0"/>
          <w:lang w:val="it-IT"/>
        </w:rPr>
        <w:t>il volume delle erogazioni nette della banca supera un certo benchmark</w:t>
      </w:r>
      <w:r>
        <w:rPr>
          <w:rFonts w:ascii="Arial" w:hAnsi="Arial"/>
          <w:sz w:val="22"/>
          <w:szCs w:val="22"/>
          <w:rtl w:val="0"/>
          <w:lang w:val="it-IT"/>
        </w:rPr>
        <w:t>,</w:t>
      </w:r>
      <w:r>
        <w:rPr>
          <w:rFonts w:ascii="Arial" w:hAnsi="Arial"/>
          <w:sz w:val="22"/>
          <w:szCs w:val="22"/>
          <w:rtl w:val="0"/>
          <w:lang w:val="it-IT"/>
        </w:rPr>
        <w:t xml:space="preserve"> allora il tasso di interesse passivo si trasforma da onere in incentivo</w:t>
      </w:r>
      <w:r>
        <w:rPr>
          <w:rFonts w:ascii="Arial" w:hAnsi="Arial"/>
          <w:sz w:val="22"/>
          <w:szCs w:val="22"/>
          <w:rtl w:val="0"/>
          <w:lang w:val="it-IT"/>
        </w:rPr>
        <w:t>,</w:t>
      </w:r>
      <w:r>
        <w:rPr>
          <w:rFonts w:ascii="Arial" w:hAnsi="Arial"/>
          <w:sz w:val="22"/>
          <w:szCs w:val="22"/>
          <w:rtl w:val="0"/>
          <w:lang w:val="it-IT"/>
        </w:rPr>
        <w:t xml:space="preserve"> perch</w:t>
      </w:r>
      <w:r>
        <w:rPr>
          <w:rFonts w:ascii="Arial" w:hAnsi="Arial" w:hint="default"/>
          <w:sz w:val="22"/>
          <w:szCs w:val="22"/>
          <w:rtl w:val="0"/>
          <w:lang w:val="it-IT"/>
        </w:rPr>
        <w:t>é</w:t>
      </w:r>
      <w:r>
        <w:rPr>
          <w:rFonts w:ascii="Arial" w:hAnsi="Arial"/>
          <w:sz w:val="22"/>
          <w:szCs w:val="22"/>
          <w:rtl w:val="0"/>
          <w:lang w:val="it-IT"/>
        </w:rPr>
        <w:t xml:space="preserve"> pu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ò </w:t>
      </w:r>
      <w:r>
        <w:rPr>
          <w:rFonts w:ascii="Arial" w:hAnsi="Arial"/>
          <w:sz w:val="22"/>
          <w:szCs w:val="22"/>
          <w:rtl w:val="0"/>
          <w:lang w:val="it-IT"/>
        </w:rPr>
        <w:t>scendere fino a posizionarsi in corrispondenza del tasso medio applicato ai depositi presso la banca centrale per la durata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operazione. Il programma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previsto articolarsi in sette appuntamenti trimestrali, il primo dei quali fissato per il 18 settembre 2019.</w:t>
      </w:r>
    </w:p>
    <w:p>
      <w:pPr>
        <w:pStyle w:val="Normal.0"/>
        <w:spacing w:after="60"/>
        <w:jc w:val="both"/>
      </w:pPr>
    </w:p>
    <w:p>
      <w:pPr>
        <w:pStyle w:val="Normal.0"/>
        <w:spacing w:after="6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Le modifiche al TLTRO III</w:t>
      </w:r>
    </w:p>
    <w:p>
      <w:pPr>
        <w:pStyle w:val="Normal.0"/>
        <w:spacing w:after="6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Il 12 settembre il profilo delle operazioni TLTRO III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stato modificato in due punti. Il primo riguarda il costo</w:t>
      </w:r>
      <w:r>
        <w:rPr>
          <w:rFonts w:ascii="Arial" w:hAnsi="Arial"/>
          <w:sz w:val="22"/>
          <w:szCs w:val="22"/>
          <w:rtl w:val="0"/>
          <w:lang w:val="it-IT"/>
        </w:rPr>
        <w:t>: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 è </w:t>
      </w:r>
      <w:r>
        <w:rPr>
          <w:rFonts w:ascii="Arial" w:hAnsi="Arial"/>
          <w:sz w:val="22"/>
          <w:szCs w:val="22"/>
          <w:rtl w:val="0"/>
          <w:lang w:val="it-IT"/>
        </w:rPr>
        <w:t xml:space="preserve">stata eliminata la maggiorazione dello 0,10% sul tasso applicato  alle  operazioni  di  rifinanziamento  principali. </w:t>
      </w:r>
    </w:p>
    <w:p>
      <w:pPr>
        <w:pStyle w:val="Normal.0"/>
        <w:spacing w:after="6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Nell</w:t>
      </w:r>
      <w:r>
        <w:rPr>
          <w:rFonts w:ascii="Arial" w:hAnsi="Arial"/>
          <w:sz w:val="22"/>
          <w:szCs w:val="22"/>
          <w:rtl w:val="0"/>
          <w:lang w:val="it-IT"/>
        </w:rPr>
        <w:t>a</w:t>
      </w:r>
      <w:r>
        <w:rPr>
          <w:rFonts w:ascii="Arial" w:hAnsi="Arial"/>
          <w:sz w:val="22"/>
          <w:szCs w:val="22"/>
          <w:rtl w:val="0"/>
          <w:lang w:val="it-IT"/>
        </w:rPr>
        <w:t xml:space="preserve"> situazione attuale il tasso d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interesse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quindi posizionato tra un massimo dello 0,00% (tasso applicato  alle operazioni di rifinanziamento principali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Eurosistema) e un minimo dello -0,50% (il tasso applicato alla cosiddetta 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deposit facility</w:t>
      </w:r>
      <w:r>
        <w:rPr>
          <w:rFonts w:ascii="Arial" w:hAnsi="Arial"/>
          <w:sz w:val="22"/>
          <w:szCs w:val="22"/>
          <w:rtl w:val="0"/>
          <w:lang w:val="it-IT"/>
        </w:rPr>
        <w:t xml:space="preserve">). </w:t>
      </w:r>
    </w:p>
    <w:p>
      <w:pPr>
        <w:pStyle w:val="Normal.0"/>
        <w:spacing w:after="6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La seconda modifica riguarda invece la  durata, stabilita inizialmente in due anni e ora invece fissata in tre anni. A partire dalla fine del secondo anno, comunque, le banche possono procedere al rimborso (anche parziale) del finanziamento ricevuto.  </w:t>
      </w:r>
    </w:p>
    <w:p>
      <w:pPr>
        <w:pStyle w:val="Normal.0"/>
        <w:spacing w:after="60"/>
        <w:jc w:val="both"/>
      </w:pPr>
      <w:r>
        <w:rPr>
          <w:rFonts w:ascii="Arial" w:hAnsi="Arial"/>
          <w:sz w:val="22"/>
          <w:szCs w:val="22"/>
          <w:rtl w:val="0"/>
          <w:lang w:val="it-IT"/>
        </w:rPr>
        <w:t>Ci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ò </w:t>
      </w:r>
      <w:r>
        <w:rPr>
          <w:rFonts w:ascii="Arial" w:hAnsi="Arial"/>
          <w:sz w:val="22"/>
          <w:szCs w:val="22"/>
          <w:rtl w:val="0"/>
          <w:lang w:val="it-IT"/>
        </w:rPr>
        <w:t xml:space="preserve">che sorprende di queste modifiche non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tanto il loro contenuto (entrambe favorevoli al prenditore di fondi)</w:t>
      </w:r>
      <w:r>
        <w:rPr>
          <w:rFonts w:ascii="Arial" w:hAnsi="Arial"/>
          <w:sz w:val="22"/>
          <w:szCs w:val="22"/>
          <w:rtl w:val="0"/>
          <w:lang w:val="it-IT"/>
        </w:rPr>
        <w:t xml:space="preserve">, </w:t>
      </w:r>
      <w:r>
        <w:rPr>
          <w:rFonts w:ascii="Arial" w:hAnsi="Arial"/>
          <w:sz w:val="22"/>
          <w:szCs w:val="22"/>
          <w:rtl w:val="0"/>
          <w:lang w:val="it-IT"/>
        </w:rPr>
        <w:t>quanto piuttosto la tempistica: annunciate a marzo, le TLTRO III sono state definite nel dettaglio a giugno 2019, quindi solo tre mesi prima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ultima riunione del Consiglio direttivo della Bce.</w:t>
      </w:r>
    </w:p>
    <w:p>
      <w:pPr>
        <w:pStyle w:val="Normal.0"/>
        <w:spacing w:after="6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Le TLTROs sono uno strumento particolarmente apprezzato dalle banche dei paesi mediterranei. Sul totale dei finanziamenti della TLTRO II (oltre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€ </w:t>
      </w:r>
      <w:r>
        <w:rPr>
          <w:rFonts w:ascii="Arial" w:hAnsi="Arial"/>
          <w:sz w:val="22"/>
          <w:szCs w:val="22"/>
          <w:rtl w:val="0"/>
          <w:lang w:val="it-IT"/>
        </w:rPr>
        <w:t xml:space="preserve">700 mld) quasi tre quinti sono attribuibili alle banche italiane (33%) e spagnole (23%); gli istituti francesi e tedeschi congiuntamente si fermano al 28%. </w:t>
      </w:r>
    </w:p>
    <w:p>
      <w:pPr>
        <w:pStyle w:val="Normal.0"/>
        <w:spacing w:after="6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Questo diverso apprezzamento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opportunit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 xml:space="preserve">rappresentata dalle operazioni TLTROs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dovuta alle ampie differenze da tempo rilevabili nell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andamento del credito. Facendo riferimento alle variazioni annue registrate a luglio 2019, Germania e Francia si distinguono per una crescita del credito robusta dal lato delle famiglie (4,2% e 6%) e ancor pi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ù </w:t>
      </w:r>
      <w:r>
        <w:rPr>
          <w:rFonts w:ascii="Arial" w:hAnsi="Arial"/>
          <w:sz w:val="22"/>
          <w:szCs w:val="22"/>
          <w:rtl w:val="0"/>
          <w:lang w:val="it-IT"/>
        </w:rPr>
        <w:t xml:space="preserve">da quello delle imprese (6,6% e 7,8%). </w:t>
      </w:r>
    </w:p>
    <w:p>
      <w:pPr>
        <w:pStyle w:val="Normal.0"/>
        <w:spacing w:after="60"/>
        <w:jc w:val="both"/>
      </w:pPr>
      <w:r>
        <w:rPr>
          <w:rFonts w:ascii="Arial" w:hAnsi="Arial"/>
          <w:sz w:val="22"/>
          <w:szCs w:val="22"/>
          <w:rtl w:val="0"/>
          <w:lang w:val="it-IT"/>
        </w:rPr>
        <w:t>Viceversa, per una pluralit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 xml:space="preserve">di circostanze, contenuta appare la dinamica dei finanziamenti in Spagna e in Italia dove la crescita annua si ferma rispettivamente allo 0,3% e al 2,5% per le famiglie ed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negativa di circa un punto percentuale per le imprese in entrambi i paesi.</w:t>
      </w:r>
    </w:p>
    <w:p>
      <w:pPr>
        <w:pStyle w:val="Normal.0"/>
        <w:spacing w:after="60"/>
        <w:jc w:val="both"/>
      </w:pPr>
    </w:p>
    <w:p>
      <w:pPr>
        <w:pStyle w:val="Normal.0"/>
        <w:spacing w:after="60"/>
        <w:jc w:val="both"/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Le novit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nel funzionamento della 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it-IT"/>
        </w:rPr>
        <w:t>deposit facility</w:t>
      </w:r>
    </w:p>
    <w:p>
      <w:pPr>
        <w:pStyle w:val="Normal.0"/>
        <w:spacing w:after="6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La seconda, sicuramente pi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ù </w:t>
      </w:r>
      <w:r>
        <w:rPr>
          <w:rFonts w:ascii="Arial" w:hAnsi="Arial"/>
          <w:sz w:val="22"/>
          <w:szCs w:val="22"/>
          <w:rtl w:val="0"/>
          <w:lang w:val="it-IT"/>
        </w:rPr>
        <w:t xml:space="preserve">importante, </w:t>
      </w: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sz w:val="22"/>
          <w:szCs w:val="22"/>
          <w:rtl w:val="0"/>
          <w:lang w:val="it-IT"/>
        </w:rPr>
        <w:t>sorpresa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” </w:t>
      </w:r>
      <w:r>
        <w:rPr>
          <w:rFonts w:ascii="Arial" w:hAnsi="Arial"/>
          <w:sz w:val="22"/>
          <w:szCs w:val="22"/>
          <w:rtl w:val="0"/>
          <w:lang w:val="it-IT"/>
        </w:rPr>
        <w:t>contenuta nel comunicato della Banca Centrale Europea riguarda il tasso applicato sul deposito della liquidit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 xml:space="preserve">in eccesso. </w:t>
      </w:r>
    </w:p>
    <w:p>
      <w:pPr>
        <w:pStyle w:val="Normal.0"/>
        <w:spacing w:after="6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La pressione da parte dei rappresentanti dei paesi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Europa centrale (Germania e Olanda soprattutto, ma anche Francia) rendeva prevedibile che ci sarebbe stato un intervento su questo terreno. D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altra parte, tra i membri del consiglio direttivo della Bce le opinioni sulle scelte di politica monetaria sono notoriamente divergenti. </w:t>
      </w:r>
    </w:p>
    <w:p>
      <w:pPr>
        <w:pStyle w:val="Normal.0"/>
        <w:spacing w:after="60"/>
        <w:jc w:val="both"/>
      </w:pPr>
      <w:r>
        <w:rPr>
          <w:rFonts w:ascii="Arial" w:hAnsi="Arial"/>
          <w:sz w:val="22"/>
          <w:szCs w:val="22"/>
          <w:rtl w:val="0"/>
          <w:lang w:val="it-IT"/>
        </w:rPr>
        <w:t xml:space="preserve">Se la riunione del 12 settembre si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 xml:space="preserve">chiusa </w:t>
      </w:r>
      <w:r>
        <w:rPr>
          <w:rFonts w:ascii="Arial" w:hAnsi="Arial"/>
          <w:sz w:val="22"/>
          <w:szCs w:val="22"/>
          <w:rtl w:val="0"/>
          <w:lang w:val="it-IT"/>
        </w:rPr>
        <w:t xml:space="preserve">permettendo </w:t>
      </w:r>
      <w:r>
        <w:rPr>
          <w:rFonts w:ascii="Arial" w:hAnsi="Arial"/>
          <w:sz w:val="22"/>
          <w:szCs w:val="22"/>
          <w:rtl w:val="0"/>
          <w:lang w:val="it-IT"/>
        </w:rPr>
        <w:t xml:space="preserve">di arrivare ad una votazione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stato probabilmente dovuto in misura importante proprio alle modifiche introdotte nel funzionamento di questo conto della Bce</w:t>
      </w:r>
      <w:r>
        <w:rPr>
          <w:rFonts w:ascii="Arial" w:hAnsi="Arial"/>
          <w:sz w:val="22"/>
          <w:szCs w:val="22"/>
          <w:rtl w:val="0"/>
          <w:lang w:val="it-IT"/>
        </w:rPr>
        <w:t>,</w:t>
      </w:r>
      <w:r>
        <w:rPr>
          <w:rFonts w:ascii="Arial" w:hAnsi="Arial"/>
          <w:sz w:val="22"/>
          <w:szCs w:val="22"/>
          <w:rtl w:val="0"/>
          <w:lang w:val="it-IT"/>
        </w:rPr>
        <w:t xml:space="preserve"> ove alla fine dello scorso agosto risultavano depositati complessivamente oltre </w:t>
      </w:r>
      <w:r>
        <w:rPr>
          <w:rFonts w:ascii="Arial" w:hAnsi="Arial" w:hint="default"/>
          <w:sz w:val="22"/>
          <w:szCs w:val="22"/>
          <w:rtl w:val="0"/>
          <w:lang w:val="it-IT"/>
        </w:rPr>
        <w:t>€</w:t>
      </w:r>
      <w:r>
        <w:rPr>
          <w:rFonts w:ascii="Arial" w:hAnsi="Arial"/>
          <w:sz w:val="22"/>
          <w:szCs w:val="22"/>
          <w:rtl w:val="0"/>
          <w:lang w:val="it-IT"/>
        </w:rPr>
        <w:t>1.200 miliardi. Le banche titolari di questa liquidit</w:t>
      </w:r>
      <w:r>
        <w:rPr>
          <w:rFonts w:ascii="Arial" w:hAnsi="Arial" w:hint="default"/>
          <w:sz w:val="22"/>
          <w:szCs w:val="22"/>
          <w:rtl w:val="0"/>
          <w:lang w:val="it-IT"/>
        </w:rPr>
        <w:t>à</w:t>
      </w:r>
      <w:r>
        <w:rPr>
          <w:rFonts w:ascii="Arial" w:hAnsi="Arial"/>
          <w:sz w:val="22"/>
          <w:szCs w:val="22"/>
          <w:rtl w:val="0"/>
          <w:lang w:val="it-IT"/>
        </w:rPr>
        <w:t>, infatti, risultano essere soprattutto tedesche (33% del totale), francesi (24%) e olandesi (quasi 11%).</w:t>
      </w:r>
    </w:p>
    <w:p>
      <w:pPr>
        <w:pStyle w:val="Normal.0"/>
        <w:spacing w:after="6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Da giugno 2014 il rendimento riconosciuto su questi depositi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 xml:space="preserve">negativo ed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 xml:space="preserve">quindi un onere.  Questo tasso, da marzo 2016 fissato al -0,40%,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 xml:space="preserve">stato ora portato allo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– </w:t>
      </w:r>
      <w:r>
        <w:rPr>
          <w:rFonts w:ascii="Arial" w:hAnsi="Arial"/>
          <w:sz w:val="22"/>
          <w:szCs w:val="22"/>
          <w:rtl w:val="0"/>
          <w:lang w:val="it-IT"/>
        </w:rPr>
        <w:t>0,50%. Solo alcuni istituti di credito trasferiscono (almeno in parte) questo onere sulla clientela (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corporate</w:t>
      </w:r>
      <w:r>
        <w:rPr>
          <w:rFonts w:ascii="Arial" w:hAnsi="Arial"/>
          <w:sz w:val="22"/>
          <w:szCs w:val="22"/>
          <w:rtl w:val="0"/>
          <w:lang w:val="it-IT"/>
        </w:rPr>
        <w:t xml:space="preserve"> o istituzionale). Ne deriva in generale un ulteriore aggravio per i gi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 xml:space="preserve">fragili conti delle banche europee. </w:t>
      </w:r>
    </w:p>
    <w:p>
      <w:pPr>
        <w:pStyle w:val="Normal.0"/>
        <w:spacing w:after="60"/>
        <w:jc w:val="both"/>
      </w:pPr>
      <w:r>
        <w:rPr>
          <w:rFonts w:ascii="Arial" w:hAnsi="Arial"/>
          <w:sz w:val="22"/>
          <w:szCs w:val="22"/>
          <w:rtl w:val="0"/>
          <w:lang w:val="it-IT"/>
        </w:rPr>
        <w:t>Polemicamente Draghi ha in passato sottolineato che il ripristino della redditivit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bancaria su livelli adeguati, pi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ù </w:t>
      </w:r>
      <w:r>
        <w:rPr>
          <w:rFonts w:ascii="Arial" w:hAnsi="Arial"/>
          <w:sz w:val="22"/>
          <w:szCs w:val="22"/>
          <w:rtl w:val="0"/>
          <w:lang w:val="it-IT"/>
        </w:rPr>
        <w:t xml:space="preserve">che alla modifica di questo tasso,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 xml:space="preserve">legato ad energici interventi sulla struttura dei costi operativi (interventi che in parte vengono in effetti realizzati).  </w:t>
      </w:r>
    </w:p>
    <w:p>
      <w:pPr>
        <w:pStyle w:val="Normal.0"/>
        <w:spacing w:after="6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importante novit</w:t>
      </w:r>
      <w:r>
        <w:rPr>
          <w:rFonts w:ascii="Arial" w:hAnsi="Arial" w:hint="default"/>
          <w:sz w:val="22"/>
          <w:szCs w:val="22"/>
          <w:rtl w:val="0"/>
          <w:lang w:val="it-IT"/>
        </w:rPr>
        <w:t>à</w:t>
      </w:r>
      <w:r>
        <w:rPr>
          <w:rFonts w:ascii="Arial" w:hAnsi="Arial"/>
          <w:sz w:val="22"/>
          <w:szCs w:val="22"/>
          <w:rtl w:val="0"/>
          <w:lang w:val="it-IT"/>
        </w:rPr>
        <w:t xml:space="preserve"> introdotta il 12 settembre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 xml:space="preserve">che una parte delle riserve in eccesso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esentata da questo onere. Viene in questo modo adottato dall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Eurosistema un criterio gi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 xml:space="preserve">in uso in alcuni paesi (Giappone, Svezia, Svizzera, Danimarca). </w:t>
      </w:r>
    </w:p>
    <w:p>
      <w:pPr>
        <w:pStyle w:val="Normal.0"/>
        <w:spacing w:after="60"/>
        <w:jc w:val="both"/>
      </w:pPr>
      <w:r>
        <w:rPr>
          <w:rFonts w:ascii="Arial" w:hAnsi="Arial"/>
          <w:sz w:val="22"/>
          <w:szCs w:val="22"/>
          <w:rtl w:val="0"/>
          <w:lang w:val="it-IT"/>
        </w:rPr>
        <w:t>La Bce ha per ora quantificato la parte esentata in sei volte (moltiplicatore)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ammontare delle riserve regolamentari. Facendo riferimento ai dati di fine agosto, questo vuol dire che dalla fine di ottobre (prima applicazione della modifica) il 55% di questa liquidit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in eccesso risulta esentata (tasso 0,00%). La Bce si riserva la facolt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di modificare in qualsiasi momento sia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entit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 xml:space="preserve">del moltiplicatore (quindi il 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quantum</w:t>
      </w:r>
      <w:r>
        <w:rPr>
          <w:rFonts w:ascii="Arial" w:hAnsi="Arial"/>
          <w:sz w:val="22"/>
          <w:szCs w:val="22"/>
          <w:rtl w:val="0"/>
          <w:lang w:val="it-IT"/>
        </w:rPr>
        <w:t>) sia il tasso applicato su questa parte della liquidit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 xml:space="preserve">in eccesso (tasso non necessariamente uguale a quello delle 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required reserve).</w:t>
      </w:r>
    </w:p>
    <w:p>
      <w:pPr>
        <w:pStyle w:val="Normal.0"/>
        <w:spacing w:after="60"/>
        <w:jc w:val="both"/>
      </w:pPr>
    </w:p>
    <w:p>
      <w:pPr>
        <w:pStyle w:val="Normal.0"/>
        <w:spacing w:after="6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Il riflesso sulle banche italiane</w:t>
      </w:r>
    </w:p>
    <w:p>
      <w:pPr>
        <w:pStyle w:val="Normal.0"/>
        <w:spacing w:after="6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La decisione della Bce tocca in modo limitato le banche italiane che nell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insieme risultano titolari di circa il 5% della liquidit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 xml:space="preserve">posizionata nella 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deposit facility</w:t>
      </w:r>
      <w:r>
        <w:rPr>
          <w:rFonts w:ascii="Arial" w:hAnsi="Arial"/>
          <w:sz w:val="22"/>
          <w:szCs w:val="22"/>
          <w:rtl w:val="0"/>
          <w:lang w:val="it-IT"/>
        </w:rPr>
        <w:t>, una percentuale pari a meno della met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del peso delle nostre banche nell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Eurosistema. </w:t>
      </w:r>
    </w:p>
    <w:p>
      <w:pPr>
        <w:pStyle w:val="Normal.0"/>
        <w:spacing w:after="60"/>
        <w:jc w:val="both"/>
      </w:pPr>
      <w:r>
        <w:rPr>
          <w:rFonts w:ascii="Arial" w:hAnsi="Arial"/>
          <w:sz w:val="22"/>
          <w:szCs w:val="22"/>
          <w:rtl w:val="0"/>
          <w:lang w:val="it-IT"/>
        </w:rPr>
        <w:t>Secondo una prima stima</w:t>
      </w:r>
      <w:r>
        <w:rPr>
          <w:rFonts w:ascii="Arial" w:hAnsi="Arial"/>
          <w:sz w:val="22"/>
          <w:szCs w:val="22"/>
          <w:rtl w:val="0"/>
          <w:lang w:val="it-IT"/>
        </w:rPr>
        <w:t>,</w:t>
      </w:r>
      <w:r>
        <w:rPr>
          <w:rFonts w:ascii="Arial" w:hAnsi="Arial"/>
          <w:sz w:val="22"/>
          <w:szCs w:val="22"/>
          <w:rtl w:val="0"/>
          <w:lang w:val="it-IT"/>
        </w:rPr>
        <w:t xml:space="preserve"> il minor onere annuo sarebbe pari a circa </w:t>
      </w:r>
      <w:r>
        <w:rPr>
          <w:rFonts w:ascii="Arial" w:hAnsi="Arial" w:hint="default"/>
          <w:sz w:val="22"/>
          <w:szCs w:val="22"/>
          <w:rtl w:val="0"/>
          <w:lang w:val="it-IT"/>
        </w:rPr>
        <w:t>€</w:t>
      </w:r>
      <w:r>
        <w:rPr>
          <w:rFonts w:ascii="Arial" w:hAnsi="Arial"/>
          <w:sz w:val="22"/>
          <w:szCs w:val="22"/>
          <w:rtl w:val="0"/>
          <w:lang w:val="it-IT"/>
        </w:rPr>
        <w:t>160 milioni. Quest</w:t>
      </w:r>
      <w:r>
        <w:rPr>
          <w:rFonts w:ascii="Arial" w:hAnsi="Arial"/>
          <w:sz w:val="22"/>
          <w:szCs w:val="22"/>
          <w:rtl w:val="0"/>
          <w:lang w:val="it-IT"/>
        </w:rPr>
        <w:t>o</w:t>
      </w:r>
      <w:r>
        <w:rPr>
          <w:rFonts w:ascii="Arial" w:hAnsi="Arial"/>
          <w:sz w:val="22"/>
          <w:szCs w:val="22"/>
          <w:rtl w:val="0"/>
          <w:lang w:val="it-IT"/>
        </w:rPr>
        <w:t xml:space="preserve"> diverso orientamento delle banche italiane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in evidente relazione con la loro pi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ù </w:t>
      </w:r>
      <w:r>
        <w:rPr>
          <w:rFonts w:ascii="Arial" w:hAnsi="Arial"/>
          <w:sz w:val="22"/>
          <w:szCs w:val="22"/>
          <w:rtl w:val="0"/>
          <w:lang w:val="it-IT"/>
        </w:rPr>
        <w:t xml:space="preserve">ampia esposizione sui titoli di </w:t>
      </w:r>
      <w:r>
        <w:rPr>
          <w:rFonts w:ascii="Arial" w:hAnsi="Arial"/>
          <w:sz w:val="22"/>
          <w:szCs w:val="22"/>
          <w:rtl w:val="0"/>
          <w:lang w:val="it-IT"/>
        </w:rPr>
        <w:t>S</w:t>
      </w:r>
      <w:r>
        <w:rPr>
          <w:rFonts w:ascii="Arial" w:hAnsi="Arial"/>
          <w:sz w:val="22"/>
          <w:szCs w:val="22"/>
          <w:rtl w:val="0"/>
          <w:lang w:val="it-IT"/>
        </w:rPr>
        <w:t>tato, soprattutto domestici: a fine marzo il 9,9% del loro attivo totale risultava investito in titoli di domestici rispetto ad una media del 3,4% per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eurozona (cfr.ultimo Rapporto di Stabilit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della Banca d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Italia). </w:t>
      </w:r>
    </w:p>
    <w:p>
      <w:pPr>
        <w:pStyle w:val="Normal.0"/>
        <w:spacing w:after="6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Queste due poste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attivo hanno un profilo diverso: la prima si caratterizza per una piena liquidit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finanziaria</w:t>
      </w:r>
      <w:r>
        <w:rPr>
          <w:rFonts w:ascii="Arial" w:hAnsi="Arial"/>
          <w:sz w:val="22"/>
          <w:szCs w:val="22"/>
          <w:rtl w:val="0"/>
          <w:lang w:val="it-IT"/>
        </w:rPr>
        <w:t>,</w:t>
      </w:r>
      <w:r>
        <w:rPr>
          <w:rFonts w:ascii="Arial" w:hAnsi="Arial"/>
          <w:sz w:val="22"/>
          <w:szCs w:val="22"/>
          <w:rtl w:val="0"/>
          <w:lang w:val="it-IT"/>
        </w:rPr>
        <w:t xml:space="preserve"> ma a prezzo di un onere non trascurabile, la seconda offre un rendimento positivo ma determina riflessi di segno mutevole su conto economico e stato patrimoniale. </w:t>
      </w:r>
    </w:p>
    <w:p>
      <w:pPr>
        <w:pStyle w:val="Normal.0"/>
        <w:spacing w:after="6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Il confronto tra Intesa e Unicredit evidenzia la possibilit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di scelte gestionali diverse. A met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2019 Unicredit risultava avere solo un limitato ammontare di liquidit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 xml:space="preserve">depositato presso la Bce (meno di </w:t>
      </w:r>
      <w:r>
        <w:rPr>
          <w:rFonts w:ascii="Arial" w:hAnsi="Arial" w:hint="default"/>
          <w:sz w:val="22"/>
          <w:szCs w:val="22"/>
          <w:rtl w:val="0"/>
          <w:lang w:val="it-IT"/>
        </w:rPr>
        <w:t>€</w:t>
      </w:r>
      <w:r>
        <w:rPr>
          <w:rFonts w:ascii="Arial" w:hAnsi="Arial"/>
          <w:sz w:val="22"/>
          <w:szCs w:val="22"/>
          <w:rtl w:val="0"/>
          <w:lang w:val="it-IT"/>
        </w:rPr>
        <w:t xml:space="preserve">5 miliardi) ma al contempo un portafoglio di titoli di debito sovrano di </w:t>
      </w:r>
      <w:r>
        <w:rPr>
          <w:rFonts w:ascii="Arial" w:hAnsi="Arial" w:hint="default"/>
          <w:sz w:val="22"/>
          <w:szCs w:val="22"/>
          <w:rtl w:val="0"/>
          <w:lang w:val="it-IT"/>
        </w:rPr>
        <w:t>€</w:t>
      </w:r>
      <w:r>
        <w:rPr>
          <w:rFonts w:ascii="Arial" w:hAnsi="Arial"/>
          <w:sz w:val="22"/>
          <w:szCs w:val="22"/>
          <w:rtl w:val="0"/>
          <w:lang w:val="it-IT"/>
        </w:rPr>
        <w:t xml:space="preserve">102 miliardi di cui </w:t>
      </w:r>
      <w:r>
        <w:rPr>
          <w:rFonts w:ascii="Arial" w:hAnsi="Arial" w:hint="default"/>
          <w:sz w:val="22"/>
          <w:szCs w:val="22"/>
          <w:rtl w:val="0"/>
          <w:lang w:val="it-IT"/>
        </w:rPr>
        <w:t>€</w:t>
      </w:r>
      <w:r>
        <w:rPr>
          <w:rFonts w:ascii="Arial" w:hAnsi="Arial"/>
          <w:sz w:val="22"/>
          <w:szCs w:val="22"/>
          <w:rtl w:val="0"/>
          <w:lang w:val="it-IT"/>
        </w:rPr>
        <w:t>53 miliardi riferibili all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Italia (di questi ultimi il 65% risulta non  </w:t>
      </w: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sz w:val="22"/>
          <w:szCs w:val="22"/>
          <w:rtl w:val="0"/>
          <w:lang w:val="it-IT"/>
        </w:rPr>
        <w:t>congelato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” </w:t>
      </w:r>
      <w:r>
        <w:rPr>
          <w:rFonts w:ascii="Arial" w:hAnsi="Arial"/>
          <w:sz w:val="22"/>
          <w:szCs w:val="22"/>
          <w:rtl w:val="0"/>
          <w:lang w:val="it-IT"/>
        </w:rPr>
        <w:t>sotto il profilo contabile, cio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 xml:space="preserve">non valutato al costo ammortizzato). </w:t>
      </w:r>
    </w:p>
    <w:p>
      <w:pPr>
        <w:pStyle w:val="Normal.0"/>
        <w:spacing w:after="60"/>
        <w:jc w:val="both"/>
      </w:pPr>
      <w:r>
        <w:rPr>
          <w:rFonts w:ascii="Arial" w:hAnsi="Arial"/>
          <w:sz w:val="22"/>
          <w:szCs w:val="22"/>
          <w:rtl w:val="0"/>
          <w:lang w:val="it-IT"/>
        </w:rPr>
        <w:t xml:space="preserve">Viceversa, Intesa SanPaolo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tra le banche italiane quella con il pi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ù </w:t>
      </w:r>
      <w:r>
        <w:rPr>
          <w:rFonts w:ascii="Arial" w:hAnsi="Arial"/>
          <w:sz w:val="22"/>
          <w:szCs w:val="22"/>
          <w:rtl w:val="0"/>
          <w:lang w:val="it-IT"/>
        </w:rPr>
        <w:t>ampio ammontare di liquidit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 xml:space="preserve">depositata presso la Bce (quasi </w:t>
      </w:r>
      <w:r>
        <w:rPr>
          <w:rFonts w:ascii="Arial" w:hAnsi="Arial" w:hint="default"/>
          <w:sz w:val="22"/>
          <w:szCs w:val="22"/>
          <w:rtl w:val="0"/>
          <w:lang w:val="it-IT"/>
        </w:rPr>
        <w:t>€</w:t>
      </w:r>
      <w:r>
        <w:rPr>
          <w:rFonts w:ascii="Arial" w:hAnsi="Arial"/>
          <w:sz w:val="22"/>
          <w:szCs w:val="22"/>
          <w:rtl w:val="0"/>
          <w:lang w:val="it-IT"/>
        </w:rPr>
        <w:t>36 miliardi) e quindi la pi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ù </w:t>
      </w:r>
      <w:r>
        <w:rPr>
          <w:rFonts w:ascii="Arial" w:hAnsi="Arial"/>
          <w:sz w:val="22"/>
          <w:szCs w:val="22"/>
          <w:rtl w:val="0"/>
          <w:lang w:val="it-IT"/>
        </w:rPr>
        <w:t xml:space="preserve">ampia beneficiaria della decisione adottata il 12 settembre; parallelamente la sua esposizione al rischio sovrano relativa a paesi Ue (sola parte bancaria) </w:t>
      </w: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sz w:val="22"/>
          <w:szCs w:val="22"/>
          <w:rtl w:val="0"/>
          <w:lang w:val="it-IT"/>
        </w:rPr>
        <w:t>si ferma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” </w:t>
      </w:r>
      <w:r>
        <w:rPr>
          <w:rFonts w:ascii="Arial" w:hAnsi="Arial"/>
          <w:sz w:val="22"/>
          <w:szCs w:val="22"/>
          <w:rtl w:val="0"/>
          <w:lang w:val="it-IT"/>
        </w:rPr>
        <w:t xml:space="preserve">a </w:t>
      </w:r>
      <w:r>
        <w:rPr>
          <w:rFonts w:ascii="Arial" w:hAnsi="Arial" w:hint="default"/>
          <w:sz w:val="22"/>
          <w:szCs w:val="22"/>
          <w:rtl w:val="0"/>
          <w:lang w:val="it-IT"/>
        </w:rPr>
        <w:t>€</w:t>
      </w:r>
      <w:r>
        <w:rPr>
          <w:rFonts w:ascii="Arial" w:hAnsi="Arial"/>
          <w:sz w:val="22"/>
          <w:szCs w:val="22"/>
          <w:rtl w:val="0"/>
          <w:lang w:val="it-IT"/>
        </w:rPr>
        <w:t xml:space="preserve">58,3 miliardi, dei quali </w:t>
      </w:r>
      <w:r>
        <w:rPr>
          <w:rFonts w:ascii="Arial" w:hAnsi="Arial" w:hint="default"/>
          <w:sz w:val="22"/>
          <w:szCs w:val="22"/>
          <w:rtl w:val="0"/>
          <w:lang w:val="it-IT"/>
        </w:rPr>
        <w:t>€</w:t>
      </w:r>
      <w:r>
        <w:rPr>
          <w:rFonts w:ascii="Arial" w:hAnsi="Arial"/>
          <w:sz w:val="22"/>
          <w:szCs w:val="22"/>
          <w:rtl w:val="0"/>
          <w:lang w:val="it-IT"/>
        </w:rPr>
        <w:t>34,3 miliardi riferibili all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Italia (quelli al costo ammortizzato sono pari a </w:t>
      </w:r>
      <w:r>
        <w:rPr>
          <w:rFonts w:ascii="Arial" w:hAnsi="Arial" w:hint="default"/>
          <w:sz w:val="22"/>
          <w:szCs w:val="22"/>
          <w:rtl w:val="0"/>
          <w:lang w:val="it-IT"/>
        </w:rPr>
        <w:t>€</w:t>
      </w:r>
      <w:r>
        <w:rPr>
          <w:rFonts w:ascii="Arial" w:hAnsi="Arial"/>
          <w:sz w:val="22"/>
          <w:szCs w:val="22"/>
          <w:rtl w:val="0"/>
          <w:lang w:val="it-IT"/>
        </w:rPr>
        <w:t xml:space="preserve">9 miliardi). </w:t>
      </w:r>
    </w:p>
    <w:p>
      <w:pPr>
        <w:pStyle w:val="Normal.0"/>
        <w:spacing w:after="6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Se la decisione di riattivare il programma di acquisto di titoli rappresenta la novit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pi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ù </w:t>
      </w:r>
      <w:r>
        <w:rPr>
          <w:rFonts w:ascii="Arial" w:hAnsi="Arial"/>
          <w:sz w:val="22"/>
          <w:szCs w:val="22"/>
          <w:rtl w:val="0"/>
          <w:lang w:val="it-IT"/>
        </w:rPr>
        <w:t>importante stabilita nella riunione del 12 settembre, la modifica del tasso d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interesse relativo ai fondi in eccesso depositati presso la Bce pu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ò </w:t>
      </w:r>
      <w:r>
        <w:rPr>
          <w:rFonts w:ascii="Arial" w:hAnsi="Arial"/>
          <w:sz w:val="22"/>
          <w:szCs w:val="22"/>
          <w:rtl w:val="0"/>
          <w:lang w:val="it-IT"/>
        </w:rPr>
        <w:t xml:space="preserve">indurre conseguenze non trascurabili nella gestione finanziaria delle banche europee. </w:t>
      </w:r>
    </w:p>
    <w:p>
      <w:pPr>
        <w:pStyle w:val="Normal.0"/>
        <w:spacing w:after="60"/>
        <w:jc w:val="both"/>
      </w:pPr>
      <w:r>
        <w:rPr>
          <w:rFonts w:ascii="Arial" w:hAnsi="Arial"/>
          <w:sz w:val="22"/>
          <w:szCs w:val="22"/>
          <w:rtl w:val="0"/>
          <w:lang w:val="it-IT"/>
        </w:rPr>
        <w:t xml:space="preserve">Per le banche italiane potrebbe favorire una minore propensione a sottoscrivere titoli sovrani.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